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AFB" w:rsidRPr="00614D01" w:rsidRDefault="00EE1AFB" w:rsidP="00EE1AFB">
      <w:pPr>
        <w:spacing w:after="0" w:line="240" w:lineRule="auto"/>
        <w:rPr>
          <w:rFonts w:ascii="Times New Roman" w:eastAsia="Times New Roman" w:hAnsi="Times New Roman" w:cs="Times New Roman"/>
          <w:sz w:val="24"/>
          <w:szCs w:val="24"/>
        </w:rPr>
      </w:pPr>
    </w:p>
    <w:p w:rsidR="00EE1AFB" w:rsidRPr="00614D01" w:rsidRDefault="00EE1AFB"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614D01">
      <w:pPr>
        <w:spacing w:after="0" w:line="480" w:lineRule="auto"/>
        <w:rPr>
          <w:rFonts w:ascii="Times New Roman" w:eastAsia="Times New Roman" w:hAnsi="Times New Roman" w:cs="Times New Roman"/>
          <w:b/>
          <w:sz w:val="24"/>
          <w:szCs w:val="24"/>
        </w:rPr>
      </w:pPr>
    </w:p>
    <w:p w:rsidR="00614D01" w:rsidRPr="00614D01" w:rsidRDefault="00614D01" w:rsidP="00614D01">
      <w:pPr>
        <w:spacing w:after="0" w:line="480" w:lineRule="auto"/>
        <w:jc w:val="center"/>
        <w:rPr>
          <w:rFonts w:ascii="Times New Roman" w:eastAsia="Times New Roman" w:hAnsi="Times New Roman" w:cs="Times New Roman"/>
          <w:sz w:val="24"/>
          <w:szCs w:val="24"/>
        </w:rPr>
      </w:pPr>
      <w:r w:rsidRPr="00614D01">
        <w:rPr>
          <w:rFonts w:ascii="Times New Roman" w:eastAsia="Times New Roman" w:hAnsi="Times New Roman" w:cs="Times New Roman"/>
          <w:sz w:val="24"/>
          <w:szCs w:val="24"/>
        </w:rPr>
        <w:t>Federal Tort</w:t>
      </w:r>
    </w:p>
    <w:p w:rsidR="00614D01" w:rsidRPr="00614D01" w:rsidRDefault="00614D01" w:rsidP="00614D01">
      <w:pPr>
        <w:spacing w:after="0" w:line="480" w:lineRule="auto"/>
        <w:jc w:val="center"/>
        <w:rPr>
          <w:rFonts w:ascii="Times New Roman" w:eastAsia="Times New Roman" w:hAnsi="Times New Roman" w:cs="Times New Roman"/>
          <w:sz w:val="24"/>
          <w:szCs w:val="24"/>
        </w:rPr>
      </w:pPr>
      <w:r w:rsidRPr="00614D01">
        <w:rPr>
          <w:rFonts w:ascii="Times New Roman" w:eastAsia="Times New Roman" w:hAnsi="Times New Roman" w:cs="Times New Roman"/>
          <w:sz w:val="24"/>
          <w:szCs w:val="24"/>
        </w:rPr>
        <w:t>Name</w:t>
      </w:r>
    </w:p>
    <w:p w:rsidR="00614D01" w:rsidRPr="00614D01" w:rsidRDefault="00614D01" w:rsidP="00614D01">
      <w:pPr>
        <w:spacing w:after="0" w:line="480" w:lineRule="auto"/>
        <w:jc w:val="center"/>
        <w:rPr>
          <w:rFonts w:ascii="Times New Roman" w:eastAsia="Times New Roman" w:hAnsi="Times New Roman" w:cs="Times New Roman"/>
          <w:sz w:val="24"/>
          <w:szCs w:val="24"/>
        </w:rPr>
      </w:pPr>
      <w:r w:rsidRPr="00614D01">
        <w:rPr>
          <w:rFonts w:ascii="Times New Roman" w:eastAsia="Times New Roman" w:hAnsi="Times New Roman" w:cs="Times New Roman"/>
          <w:sz w:val="24"/>
          <w:szCs w:val="24"/>
        </w:rPr>
        <w:t>Institution</w:t>
      </w:r>
    </w:p>
    <w:p w:rsidR="00614D01" w:rsidRPr="00614D01" w:rsidRDefault="00614D01" w:rsidP="00614D01">
      <w:pPr>
        <w:spacing w:after="0" w:line="240" w:lineRule="auto"/>
        <w:jc w:val="center"/>
        <w:rPr>
          <w:rFonts w:ascii="Times New Roman" w:eastAsia="Times New Roman" w:hAnsi="Times New Roman" w:cs="Times New Roman"/>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p>
    <w:p w:rsidR="00614D01" w:rsidRDefault="00614D01" w:rsidP="00EE1AFB">
      <w:pPr>
        <w:spacing w:after="0" w:line="240" w:lineRule="auto"/>
        <w:rPr>
          <w:rFonts w:ascii="Times New Roman" w:eastAsia="Times New Roman" w:hAnsi="Times New Roman" w:cs="Times New Roman"/>
          <w:b/>
          <w:sz w:val="24"/>
          <w:szCs w:val="24"/>
        </w:rPr>
      </w:pPr>
      <w:bookmarkStart w:id="0" w:name="_GoBack"/>
      <w:bookmarkEnd w:id="0"/>
    </w:p>
    <w:p w:rsidR="00614D01" w:rsidRDefault="00614D01" w:rsidP="00EE1AFB">
      <w:pPr>
        <w:spacing w:after="0" w:line="240" w:lineRule="auto"/>
        <w:rPr>
          <w:rFonts w:ascii="Times New Roman" w:eastAsia="Times New Roman" w:hAnsi="Times New Roman" w:cs="Times New Roman"/>
          <w:b/>
          <w:sz w:val="24"/>
          <w:szCs w:val="24"/>
        </w:rPr>
      </w:pPr>
    </w:p>
    <w:p w:rsidR="00EE1AFB" w:rsidRPr="00614D01" w:rsidRDefault="00EE1AFB" w:rsidP="00EE1AFB">
      <w:pPr>
        <w:spacing w:after="0" w:line="240" w:lineRule="auto"/>
        <w:rPr>
          <w:rFonts w:ascii="Times New Roman" w:eastAsia="Times New Roman" w:hAnsi="Times New Roman" w:cs="Times New Roman"/>
          <w:b/>
          <w:sz w:val="24"/>
          <w:szCs w:val="24"/>
        </w:rPr>
      </w:pPr>
      <w:r w:rsidRPr="00614D01">
        <w:rPr>
          <w:rFonts w:ascii="Times New Roman" w:eastAsia="Times New Roman" w:hAnsi="Times New Roman" w:cs="Times New Roman"/>
          <w:b/>
          <w:sz w:val="24"/>
          <w:szCs w:val="24"/>
        </w:rPr>
        <w:lastRenderedPageBreak/>
        <w:t xml:space="preserve">Question 1 </w:t>
      </w:r>
    </w:p>
    <w:p w:rsidR="00EE1AFB" w:rsidRPr="00614D01" w:rsidRDefault="00EE1AFB" w:rsidP="00EE1AFB">
      <w:pPr>
        <w:spacing w:after="0" w:line="240" w:lineRule="auto"/>
        <w:rPr>
          <w:rFonts w:ascii="Times New Roman" w:eastAsia="Times New Roman" w:hAnsi="Times New Roman" w:cs="Times New Roman"/>
          <w:sz w:val="24"/>
          <w:szCs w:val="24"/>
        </w:rPr>
      </w:pPr>
    </w:p>
    <w:p w:rsidR="00EE1AFB" w:rsidRPr="00614D01" w:rsidRDefault="00EE1AFB" w:rsidP="00EE1AFB">
      <w:pPr>
        <w:spacing w:line="480" w:lineRule="auto"/>
        <w:ind w:firstLine="720"/>
        <w:jc w:val="both"/>
        <w:rPr>
          <w:rFonts w:ascii="Times New Roman" w:hAnsi="Times New Roman" w:cs="Times New Roman"/>
          <w:sz w:val="24"/>
          <w:szCs w:val="24"/>
        </w:rPr>
      </w:pPr>
      <w:r w:rsidRPr="00614D01">
        <w:rPr>
          <w:rFonts w:ascii="Times New Roman" w:hAnsi="Times New Roman" w:cs="Times New Roman"/>
          <w:sz w:val="24"/>
          <w:szCs w:val="24"/>
        </w:rPr>
        <w:t>In the Federal Tort Claims it is important to understand if the public administrator or the public worker was acting as an official when accessing liability because, suing a federal government entity for damages in a personal injury is more challenging compared to suing a private citizen. One is not allowed to sue the government without its knowledge. The Federal Tort Claims only allows specific types of lawsuits against a federal government and federal employees who have acted within the scope of employment while causing injuries, but specific strict rules must be adhered to. Some independent employees hired by the government, cannot be sued under the Federal Tort Claims unless they are in fact treated like employees</w:t>
      </w:r>
      <w:r w:rsidR="00614D01" w:rsidRPr="00614D01">
        <w:rPr>
          <w:rFonts w:ascii="Times New Roman" w:eastAsia="Times New Roman" w:hAnsi="Times New Roman" w:cs="Times New Roman"/>
          <w:sz w:val="24"/>
          <w:szCs w:val="24"/>
        </w:rPr>
        <w:t xml:space="preserve"> (</w:t>
      </w:r>
      <w:r w:rsidR="00614D01" w:rsidRPr="00EE1AFB">
        <w:rPr>
          <w:rFonts w:ascii="Times New Roman" w:eastAsia="Times New Roman" w:hAnsi="Times New Roman" w:cs="Times New Roman"/>
          <w:sz w:val="24"/>
          <w:szCs w:val="24"/>
        </w:rPr>
        <w:t>Gilles,</w:t>
      </w:r>
      <w:r w:rsidR="00614D01" w:rsidRPr="00614D01">
        <w:rPr>
          <w:rFonts w:ascii="Times New Roman" w:eastAsia="Times New Roman" w:hAnsi="Times New Roman" w:cs="Times New Roman"/>
          <w:sz w:val="24"/>
          <w:szCs w:val="24"/>
        </w:rPr>
        <w:t xml:space="preserve"> 2000)</w:t>
      </w:r>
      <w:r w:rsidRPr="00614D01">
        <w:rPr>
          <w:rFonts w:ascii="Times New Roman" w:hAnsi="Times New Roman" w:cs="Times New Roman"/>
          <w:sz w:val="24"/>
          <w:szCs w:val="24"/>
        </w:rPr>
        <w:t>. In the Department of social sciences this is well illustrated. For example, representation is available for an individual if he is current or former federal employees who have been sued or charged in their individual capacities. When evaluating the case certain things should be considered; whether the employee is named in the caption as required by the Federal act, whether there is an allegation that the employee acted wrongfully and whether the prayer for relief seeks monetary damages. If all these are found in the complaint, the employee should request individual capacity representation. A federal employee can retain counsel at his own expense though rare since individual capacity representation by the department of Justice attorney is not a must. Most of the employees prefer this DOJ attorney since they do not incur any cost.</w:t>
      </w:r>
    </w:p>
    <w:p w:rsidR="00EE1AFB" w:rsidRPr="00614D01" w:rsidRDefault="00EE1AFB" w:rsidP="00EE1AFB">
      <w:pPr>
        <w:spacing w:line="480" w:lineRule="auto"/>
        <w:ind w:firstLine="720"/>
        <w:jc w:val="both"/>
        <w:rPr>
          <w:rFonts w:ascii="Times New Roman" w:hAnsi="Times New Roman" w:cs="Times New Roman"/>
          <w:sz w:val="24"/>
          <w:szCs w:val="24"/>
        </w:rPr>
      </w:pPr>
      <w:r w:rsidRPr="00614D01">
        <w:rPr>
          <w:rFonts w:ascii="Times New Roman" w:hAnsi="Times New Roman" w:cs="Times New Roman"/>
          <w:sz w:val="24"/>
          <w:szCs w:val="24"/>
        </w:rPr>
        <w:t xml:space="preserve">Reference </w:t>
      </w:r>
    </w:p>
    <w:p w:rsidR="00EE1AFB" w:rsidRPr="00EE1AFB" w:rsidRDefault="00EE1AFB" w:rsidP="00EE1AFB">
      <w:pPr>
        <w:spacing w:after="0" w:line="240" w:lineRule="auto"/>
        <w:ind w:left="720" w:hanging="720"/>
        <w:rPr>
          <w:rFonts w:ascii="Times New Roman" w:eastAsia="Times New Roman" w:hAnsi="Times New Roman" w:cs="Times New Roman"/>
          <w:sz w:val="24"/>
          <w:szCs w:val="24"/>
        </w:rPr>
      </w:pPr>
      <w:r w:rsidRPr="00EE1AFB">
        <w:rPr>
          <w:rFonts w:ascii="Times New Roman" w:eastAsia="Times New Roman" w:hAnsi="Times New Roman" w:cs="Times New Roman"/>
          <w:sz w:val="24"/>
          <w:szCs w:val="24"/>
        </w:rPr>
        <w:t xml:space="preserve">Gilles, M. E. (2000). In defense of making Government pay: the deterrent effect of constitutional tort remedies. </w:t>
      </w:r>
      <w:r w:rsidRPr="00EE1AFB">
        <w:rPr>
          <w:rFonts w:ascii="Times New Roman" w:eastAsia="Times New Roman" w:hAnsi="Times New Roman" w:cs="Times New Roman"/>
          <w:i/>
          <w:iCs/>
          <w:sz w:val="24"/>
          <w:szCs w:val="24"/>
        </w:rPr>
        <w:t>Ga. L. Rev.</w:t>
      </w:r>
      <w:r w:rsidRPr="00EE1AFB">
        <w:rPr>
          <w:rFonts w:ascii="Times New Roman" w:eastAsia="Times New Roman" w:hAnsi="Times New Roman" w:cs="Times New Roman"/>
          <w:sz w:val="24"/>
          <w:szCs w:val="24"/>
        </w:rPr>
        <w:t xml:space="preserve">, </w:t>
      </w:r>
      <w:r w:rsidRPr="00EE1AFB">
        <w:rPr>
          <w:rFonts w:ascii="Times New Roman" w:eastAsia="Times New Roman" w:hAnsi="Times New Roman" w:cs="Times New Roman"/>
          <w:i/>
          <w:iCs/>
          <w:sz w:val="24"/>
          <w:szCs w:val="24"/>
        </w:rPr>
        <w:t>35</w:t>
      </w:r>
      <w:r w:rsidRPr="00EE1AFB">
        <w:rPr>
          <w:rFonts w:ascii="Times New Roman" w:eastAsia="Times New Roman" w:hAnsi="Times New Roman" w:cs="Times New Roman"/>
          <w:sz w:val="24"/>
          <w:szCs w:val="24"/>
        </w:rPr>
        <w:t>, 845.</w:t>
      </w:r>
    </w:p>
    <w:p w:rsidR="00EE1AFB" w:rsidRPr="00614D01" w:rsidRDefault="00EE1AFB" w:rsidP="00EE1AFB">
      <w:pPr>
        <w:spacing w:line="480" w:lineRule="auto"/>
        <w:ind w:left="720" w:hanging="720"/>
        <w:jc w:val="both"/>
        <w:rPr>
          <w:rFonts w:ascii="Times New Roman" w:hAnsi="Times New Roman" w:cs="Times New Roman"/>
          <w:sz w:val="24"/>
          <w:szCs w:val="24"/>
        </w:rPr>
      </w:pPr>
    </w:p>
    <w:p w:rsidR="00EE1AFB" w:rsidRPr="00614D01" w:rsidRDefault="00EE1AFB" w:rsidP="00EE1AFB">
      <w:pPr>
        <w:spacing w:line="480" w:lineRule="auto"/>
        <w:ind w:left="720" w:hanging="720"/>
        <w:jc w:val="both"/>
        <w:rPr>
          <w:rFonts w:ascii="Times New Roman" w:hAnsi="Times New Roman" w:cs="Times New Roman"/>
          <w:sz w:val="24"/>
          <w:szCs w:val="24"/>
        </w:rPr>
      </w:pPr>
    </w:p>
    <w:p w:rsidR="00EE1AFB" w:rsidRPr="00614D01" w:rsidRDefault="00EE1AFB" w:rsidP="00EE1AFB">
      <w:pPr>
        <w:spacing w:line="480" w:lineRule="auto"/>
        <w:ind w:firstLine="720"/>
        <w:jc w:val="both"/>
        <w:rPr>
          <w:rFonts w:ascii="Times New Roman" w:hAnsi="Times New Roman" w:cs="Times New Roman"/>
          <w:b/>
          <w:sz w:val="24"/>
          <w:szCs w:val="24"/>
        </w:rPr>
      </w:pPr>
      <w:r w:rsidRPr="00614D01">
        <w:rPr>
          <w:rFonts w:ascii="Times New Roman" w:hAnsi="Times New Roman" w:cs="Times New Roman"/>
          <w:b/>
          <w:sz w:val="24"/>
          <w:szCs w:val="24"/>
        </w:rPr>
        <w:lastRenderedPageBreak/>
        <w:t xml:space="preserve">Question 2 </w:t>
      </w:r>
    </w:p>
    <w:p w:rsidR="00EE1AFB" w:rsidRPr="00614D01" w:rsidRDefault="00EE1AFB" w:rsidP="00EE1AFB">
      <w:pPr>
        <w:spacing w:line="480" w:lineRule="auto"/>
        <w:ind w:firstLine="720"/>
        <w:jc w:val="both"/>
        <w:rPr>
          <w:rFonts w:ascii="Times New Roman" w:hAnsi="Times New Roman" w:cs="Times New Roman"/>
          <w:sz w:val="24"/>
          <w:szCs w:val="24"/>
        </w:rPr>
      </w:pPr>
      <w:r w:rsidRPr="00614D01">
        <w:rPr>
          <w:rFonts w:ascii="Times New Roman" w:hAnsi="Times New Roman" w:cs="Times New Roman"/>
          <w:sz w:val="24"/>
          <w:szCs w:val="24"/>
        </w:rPr>
        <w:t xml:space="preserve">The proper role of the court in accessing liability of government officers is to authorize claims against government officials in their individual capacity for compensatory and punitive damages and determine the immunity of individual defendants. The court of appeal for the Ninth circuit affirmed with respect to all individual defendants except </w:t>
      </w:r>
      <w:proofErr w:type="spellStart"/>
      <w:r w:rsidRPr="00614D01">
        <w:rPr>
          <w:rFonts w:ascii="Times New Roman" w:hAnsi="Times New Roman" w:cs="Times New Roman"/>
          <w:sz w:val="24"/>
          <w:szCs w:val="24"/>
        </w:rPr>
        <w:t>Filarsky</w:t>
      </w:r>
      <w:proofErr w:type="spellEnd"/>
      <w:r w:rsidRPr="00614D01">
        <w:rPr>
          <w:rFonts w:ascii="Times New Roman" w:hAnsi="Times New Roman" w:cs="Times New Roman"/>
          <w:sz w:val="24"/>
          <w:szCs w:val="24"/>
        </w:rPr>
        <w:t xml:space="preserve">, concluding that he was entitled to seek qualified immunity because he was a private attorney, not a city employee. As per the analyzed decision on the ninth circuit, a private individual is temporarily retained by the government to determine whether the court of appeal made a valid distinction between the city employees and </w:t>
      </w:r>
      <w:proofErr w:type="spellStart"/>
      <w:r w:rsidRPr="00614D01">
        <w:rPr>
          <w:rFonts w:ascii="Times New Roman" w:hAnsi="Times New Roman" w:cs="Times New Roman"/>
          <w:sz w:val="24"/>
          <w:szCs w:val="24"/>
        </w:rPr>
        <w:t>Filarsky</w:t>
      </w:r>
      <w:proofErr w:type="spellEnd"/>
      <w:r w:rsidRPr="00614D01">
        <w:rPr>
          <w:rFonts w:ascii="Times New Roman" w:hAnsi="Times New Roman" w:cs="Times New Roman"/>
          <w:sz w:val="24"/>
          <w:szCs w:val="24"/>
        </w:rPr>
        <w:t xml:space="preserve"> for qualified immunity purpose and the court looks to the general principles of tort immunities and defenses applicable at common law and the reasons the court has afforded protection from suit</w:t>
      </w:r>
      <w:r w:rsidR="00614D01" w:rsidRPr="00614D01">
        <w:rPr>
          <w:rFonts w:ascii="Times New Roman" w:eastAsia="Times New Roman" w:hAnsi="Times New Roman" w:cs="Times New Roman"/>
          <w:sz w:val="24"/>
          <w:szCs w:val="24"/>
        </w:rPr>
        <w:t xml:space="preserve"> (</w:t>
      </w:r>
      <w:r w:rsidR="00614D01" w:rsidRPr="00EE1AFB">
        <w:rPr>
          <w:rFonts w:ascii="Times New Roman" w:eastAsia="Times New Roman" w:hAnsi="Times New Roman" w:cs="Times New Roman"/>
          <w:sz w:val="24"/>
          <w:szCs w:val="24"/>
        </w:rPr>
        <w:t>Blum,</w:t>
      </w:r>
      <w:r w:rsidR="00614D01" w:rsidRPr="00614D01">
        <w:rPr>
          <w:rFonts w:ascii="Times New Roman" w:eastAsia="Times New Roman" w:hAnsi="Times New Roman" w:cs="Times New Roman"/>
          <w:sz w:val="24"/>
          <w:szCs w:val="24"/>
        </w:rPr>
        <w:t xml:space="preserve"> 2012)</w:t>
      </w:r>
      <w:r w:rsidRPr="00614D01">
        <w:rPr>
          <w:rFonts w:ascii="Times New Roman" w:hAnsi="Times New Roman" w:cs="Times New Roman"/>
          <w:sz w:val="24"/>
          <w:szCs w:val="24"/>
        </w:rPr>
        <w:t>. Nothing about the reasons the court has given for recognizing immunity, counsels against carrying forward the common law rule. The supreme court of the United States provided a cause of action against the state actors who violate an individual’s rights under the federal law. At common law, those who carried out the work of government enjoyed various protections from liability when doing so, in order to allow them to serve the government without undue fear of personal exposure. Individuals receiving immunity for actions taken while engaged in public service on temporary or occasional basis are varied as the reach of the government itself. Lastly the court looked at the public interest in ensuring performance.</w:t>
      </w:r>
    </w:p>
    <w:p w:rsidR="005F5863" w:rsidRPr="00614D01" w:rsidRDefault="00614D01">
      <w:pPr>
        <w:rPr>
          <w:rFonts w:ascii="Times New Roman" w:hAnsi="Times New Roman" w:cs="Times New Roman"/>
          <w:sz w:val="24"/>
          <w:szCs w:val="24"/>
        </w:rPr>
      </w:pPr>
      <w:r w:rsidRPr="00614D01">
        <w:rPr>
          <w:rFonts w:ascii="Times New Roman" w:hAnsi="Times New Roman" w:cs="Times New Roman"/>
          <w:sz w:val="24"/>
          <w:szCs w:val="24"/>
        </w:rPr>
        <w:t>Reference</w:t>
      </w:r>
    </w:p>
    <w:p w:rsidR="00EE1AFB" w:rsidRPr="00EE1AFB" w:rsidRDefault="00EE1AFB" w:rsidP="00614D01">
      <w:pPr>
        <w:spacing w:after="0" w:line="240" w:lineRule="auto"/>
        <w:ind w:left="720" w:hanging="720"/>
        <w:rPr>
          <w:rFonts w:ascii="Times New Roman" w:eastAsia="Times New Roman" w:hAnsi="Times New Roman" w:cs="Times New Roman"/>
          <w:sz w:val="24"/>
          <w:szCs w:val="24"/>
        </w:rPr>
      </w:pPr>
      <w:r w:rsidRPr="00EE1AFB">
        <w:rPr>
          <w:rFonts w:ascii="Times New Roman" w:eastAsia="Times New Roman" w:hAnsi="Times New Roman" w:cs="Times New Roman"/>
          <w:sz w:val="24"/>
          <w:szCs w:val="24"/>
        </w:rPr>
        <w:t xml:space="preserve">Blum, K., </w:t>
      </w:r>
      <w:proofErr w:type="spellStart"/>
      <w:r w:rsidRPr="00EE1AFB">
        <w:rPr>
          <w:rFonts w:ascii="Times New Roman" w:eastAsia="Times New Roman" w:hAnsi="Times New Roman" w:cs="Times New Roman"/>
          <w:sz w:val="24"/>
          <w:szCs w:val="24"/>
        </w:rPr>
        <w:t>Chemerinsku</w:t>
      </w:r>
      <w:proofErr w:type="spellEnd"/>
      <w:r w:rsidRPr="00EE1AFB">
        <w:rPr>
          <w:rFonts w:ascii="Times New Roman" w:eastAsia="Times New Roman" w:hAnsi="Times New Roman" w:cs="Times New Roman"/>
          <w:sz w:val="24"/>
          <w:szCs w:val="24"/>
        </w:rPr>
        <w:t xml:space="preserve">, E., &amp; Schwartz, M. A. (2012). Qualified Immunity Developments: Not Much Hope Left for Plaintiffs. </w:t>
      </w:r>
      <w:r w:rsidRPr="00EE1AFB">
        <w:rPr>
          <w:rFonts w:ascii="Times New Roman" w:eastAsia="Times New Roman" w:hAnsi="Times New Roman" w:cs="Times New Roman"/>
          <w:i/>
          <w:iCs/>
          <w:sz w:val="24"/>
          <w:szCs w:val="24"/>
        </w:rPr>
        <w:t>Touro L. Rev.</w:t>
      </w:r>
      <w:r w:rsidRPr="00EE1AFB">
        <w:rPr>
          <w:rFonts w:ascii="Times New Roman" w:eastAsia="Times New Roman" w:hAnsi="Times New Roman" w:cs="Times New Roman"/>
          <w:sz w:val="24"/>
          <w:szCs w:val="24"/>
        </w:rPr>
        <w:t xml:space="preserve">, </w:t>
      </w:r>
      <w:r w:rsidRPr="00EE1AFB">
        <w:rPr>
          <w:rFonts w:ascii="Times New Roman" w:eastAsia="Times New Roman" w:hAnsi="Times New Roman" w:cs="Times New Roman"/>
          <w:i/>
          <w:iCs/>
          <w:sz w:val="24"/>
          <w:szCs w:val="24"/>
        </w:rPr>
        <w:t>29</w:t>
      </w:r>
      <w:r w:rsidRPr="00EE1AFB">
        <w:rPr>
          <w:rFonts w:ascii="Times New Roman" w:eastAsia="Times New Roman" w:hAnsi="Times New Roman" w:cs="Times New Roman"/>
          <w:sz w:val="24"/>
          <w:szCs w:val="24"/>
        </w:rPr>
        <w:t>, 633.</w:t>
      </w:r>
    </w:p>
    <w:p w:rsidR="00EE1AFB" w:rsidRPr="00614D01" w:rsidRDefault="00EE1AFB" w:rsidP="00614D01">
      <w:pPr>
        <w:ind w:left="720" w:hanging="720"/>
        <w:rPr>
          <w:rFonts w:ascii="Times New Roman" w:hAnsi="Times New Roman" w:cs="Times New Roman"/>
          <w:sz w:val="24"/>
          <w:szCs w:val="24"/>
        </w:rPr>
      </w:pPr>
    </w:p>
    <w:sectPr w:rsidR="00EE1AFB" w:rsidRPr="00614D01" w:rsidSect="00EE1A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0F4" w:rsidRDefault="004860F4" w:rsidP="00EE1AFB">
      <w:pPr>
        <w:spacing w:after="0" w:line="240" w:lineRule="auto"/>
      </w:pPr>
      <w:r>
        <w:separator/>
      </w:r>
    </w:p>
  </w:endnote>
  <w:endnote w:type="continuationSeparator" w:id="0">
    <w:p w:rsidR="004860F4" w:rsidRDefault="004860F4" w:rsidP="00EE1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0F4" w:rsidRDefault="004860F4" w:rsidP="00EE1AFB">
      <w:pPr>
        <w:spacing w:after="0" w:line="240" w:lineRule="auto"/>
      </w:pPr>
      <w:r>
        <w:separator/>
      </w:r>
    </w:p>
  </w:footnote>
  <w:footnote w:type="continuationSeparator" w:id="0">
    <w:p w:rsidR="004860F4" w:rsidRDefault="004860F4" w:rsidP="00EE1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0669761"/>
      <w:docPartObj>
        <w:docPartGallery w:val="Page Numbers (Top of Page)"/>
        <w:docPartUnique/>
      </w:docPartObj>
    </w:sdtPr>
    <w:sdtEndPr>
      <w:rPr>
        <w:noProof/>
      </w:rPr>
    </w:sdtEndPr>
    <w:sdtContent>
      <w:p w:rsidR="00EE1AFB" w:rsidRPr="00EE1AFB" w:rsidRDefault="00EE1AFB">
        <w:pPr>
          <w:pStyle w:val="Header"/>
          <w:jc w:val="right"/>
          <w:rPr>
            <w:rFonts w:ascii="Times New Roman" w:hAnsi="Times New Roman" w:cs="Times New Roman"/>
            <w:sz w:val="24"/>
            <w:szCs w:val="24"/>
          </w:rPr>
        </w:pPr>
        <w:r w:rsidRPr="00EE1AFB">
          <w:rPr>
            <w:rFonts w:ascii="Times New Roman" w:hAnsi="Times New Roman" w:cs="Times New Roman"/>
            <w:sz w:val="24"/>
            <w:szCs w:val="24"/>
          </w:rPr>
          <w:t>LAW</w:t>
        </w:r>
        <w:r>
          <w:rPr>
            <w:rFonts w:ascii="Times New Roman" w:hAnsi="Times New Roman" w:cs="Times New Roman"/>
            <w:sz w:val="24"/>
            <w:szCs w:val="24"/>
          </w:rPr>
          <w:t xml:space="preserve">                                                                                                                                                </w:t>
        </w:r>
        <w:r w:rsidRPr="00EE1AFB">
          <w:rPr>
            <w:rFonts w:ascii="Times New Roman" w:hAnsi="Times New Roman" w:cs="Times New Roman"/>
            <w:sz w:val="24"/>
            <w:szCs w:val="24"/>
          </w:rPr>
          <w:fldChar w:fldCharType="begin"/>
        </w:r>
        <w:r w:rsidRPr="00EE1AFB">
          <w:rPr>
            <w:rFonts w:ascii="Times New Roman" w:hAnsi="Times New Roman" w:cs="Times New Roman"/>
            <w:sz w:val="24"/>
            <w:szCs w:val="24"/>
          </w:rPr>
          <w:instrText xml:space="preserve"> PAGE   \* MERGEFORMAT </w:instrText>
        </w:r>
        <w:r w:rsidRPr="00EE1AFB">
          <w:rPr>
            <w:rFonts w:ascii="Times New Roman" w:hAnsi="Times New Roman" w:cs="Times New Roman"/>
            <w:sz w:val="24"/>
            <w:szCs w:val="24"/>
          </w:rPr>
          <w:fldChar w:fldCharType="separate"/>
        </w:r>
        <w:r w:rsidRPr="00EE1AFB">
          <w:rPr>
            <w:rFonts w:ascii="Times New Roman" w:hAnsi="Times New Roman" w:cs="Times New Roman"/>
            <w:noProof/>
            <w:sz w:val="24"/>
            <w:szCs w:val="24"/>
          </w:rPr>
          <w:t>2</w:t>
        </w:r>
        <w:r w:rsidRPr="00EE1AFB">
          <w:rPr>
            <w:rFonts w:ascii="Times New Roman" w:hAnsi="Times New Roman" w:cs="Times New Roman"/>
            <w:noProof/>
            <w:sz w:val="24"/>
            <w:szCs w:val="24"/>
          </w:rPr>
          <w:fldChar w:fldCharType="end"/>
        </w:r>
      </w:p>
    </w:sdtContent>
  </w:sdt>
  <w:p w:rsidR="00EE1AFB" w:rsidRDefault="00EE1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7532866"/>
      <w:docPartObj>
        <w:docPartGallery w:val="Page Numbers (Top of Page)"/>
        <w:docPartUnique/>
      </w:docPartObj>
    </w:sdtPr>
    <w:sdtEndPr>
      <w:rPr>
        <w:noProof/>
      </w:rPr>
    </w:sdtEndPr>
    <w:sdtContent>
      <w:p w:rsidR="00EE1AFB" w:rsidRPr="00EE1AFB" w:rsidRDefault="00EE1AFB">
        <w:pPr>
          <w:pStyle w:val="Header"/>
          <w:jc w:val="right"/>
          <w:rPr>
            <w:rFonts w:ascii="Times New Roman" w:hAnsi="Times New Roman" w:cs="Times New Roman"/>
            <w:sz w:val="24"/>
            <w:szCs w:val="24"/>
          </w:rPr>
        </w:pPr>
        <w:r w:rsidRPr="00EE1AFB">
          <w:rPr>
            <w:rFonts w:ascii="Times New Roman" w:hAnsi="Times New Roman" w:cs="Times New Roman"/>
            <w:sz w:val="24"/>
            <w:szCs w:val="24"/>
          </w:rPr>
          <w:t xml:space="preserve">Running Head: </w:t>
        </w:r>
        <w:r w:rsidRPr="00EE1AFB">
          <w:rPr>
            <w:rFonts w:ascii="Times New Roman" w:hAnsi="Times New Roman" w:cs="Times New Roman"/>
            <w:sz w:val="24"/>
            <w:szCs w:val="24"/>
          </w:rPr>
          <w:t>LAW</w:t>
        </w:r>
        <w:r w:rsidRPr="00EE1A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1AFB">
          <w:rPr>
            <w:rFonts w:ascii="Times New Roman" w:hAnsi="Times New Roman" w:cs="Times New Roman"/>
            <w:sz w:val="24"/>
            <w:szCs w:val="24"/>
          </w:rPr>
          <w:fldChar w:fldCharType="begin"/>
        </w:r>
        <w:r w:rsidRPr="00EE1AFB">
          <w:rPr>
            <w:rFonts w:ascii="Times New Roman" w:hAnsi="Times New Roman" w:cs="Times New Roman"/>
            <w:sz w:val="24"/>
            <w:szCs w:val="24"/>
          </w:rPr>
          <w:instrText xml:space="preserve"> PAGE   \* MERGEFORMAT </w:instrText>
        </w:r>
        <w:r w:rsidRPr="00EE1AFB">
          <w:rPr>
            <w:rFonts w:ascii="Times New Roman" w:hAnsi="Times New Roman" w:cs="Times New Roman"/>
            <w:sz w:val="24"/>
            <w:szCs w:val="24"/>
          </w:rPr>
          <w:fldChar w:fldCharType="separate"/>
        </w:r>
        <w:r w:rsidRPr="00EE1AFB">
          <w:rPr>
            <w:rFonts w:ascii="Times New Roman" w:hAnsi="Times New Roman" w:cs="Times New Roman"/>
            <w:noProof/>
            <w:sz w:val="24"/>
            <w:szCs w:val="24"/>
          </w:rPr>
          <w:t>2</w:t>
        </w:r>
        <w:r w:rsidRPr="00EE1AFB">
          <w:rPr>
            <w:rFonts w:ascii="Times New Roman" w:hAnsi="Times New Roman" w:cs="Times New Roman"/>
            <w:noProof/>
            <w:sz w:val="24"/>
            <w:szCs w:val="24"/>
          </w:rPr>
          <w:fldChar w:fldCharType="end"/>
        </w:r>
      </w:p>
    </w:sdtContent>
  </w:sdt>
  <w:p w:rsidR="00EE1AFB" w:rsidRDefault="00EE1A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B"/>
    <w:rsid w:val="004860F4"/>
    <w:rsid w:val="005F5863"/>
    <w:rsid w:val="00614D01"/>
    <w:rsid w:val="00C85740"/>
    <w:rsid w:val="00EE1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9EDD4"/>
  <w15:chartTrackingRefBased/>
  <w15:docId w15:val="{4826E910-18F7-41CF-8DDB-A02D41FA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AFB"/>
  </w:style>
  <w:style w:type="paragraph" w:styleId="Footer">
    <w:name w:val="footer"/>
    <w:basedOn w:val="Normal"/>
    <w:link w:val="FooterChar"/>
    <w:uiPriority w:val="99"/>
    <w:unhideWhenUsed/>
    <w:rsid w:val="00EE1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21892">
      <w:bodyDiv w:val="1"/>
      <w:marLeft w:val="0"/>
      <w:marRight w:val="0"/>
      <w:marTop w:val="0"/>
      <w:marBottom w:val="0"/>
      <w:divBdr>
        <w:top w:val="none" w:sz="0" w:space="0" w:color="auto"/>
        <w:left w:val="none" w:sz="0" w:space="0" w:color="auto"/>
        <w:bottom w:val="none" w:sz="0" w:space="0" w:color="auto"/>
        <w:right w:val="none" w:sz="0" w:space="0" w:color="auto"/>
      </w:divBdr>
      <w:divsChild>
        <w:div w:id="988438260">
          <w:marLeft w:val="0"/>
          <w:marRight w:val="0"/>
          <w:marTop w:val="0"/>
          <w:marBottom w:val="0"/>
          <w:divBdr>
            <w:top w:val="none" w:sz="0" w:space="0" w:color="auto"/>
            <w:left w:val="none" w:sz="0" w:space="0" w:color="auto"/>
            <w:bottom w:val="none" w:sz="0" w:space="0" w:color="auto"/>
            <w:right w:val="none" w:sz="0" w:space="0" w:color="auto"/>
          </w:divBdr>
        </w:div>
      </w:divsChild>
    </w:div>
    <w:div w:id="1749573499">
      <w:bodyDiv w:val="1"/>
      <w:marLeft w:val="0"/>
      <w:marRight w:val="0"/>
      <w:marTop w:val="0"/>
      <w:marBottom w:val="0"/>
      <w:divBdr>
        <w:top w:val="none" w:sz="0" w:space="0" w:color="auto"/>
        <w:left w:val="none" w:sz="0" w:space="0" w:color="auto"/>
        <w:bottom w:val="none" w:sz="0" w:space="0" w:color="auto"/>
        <w:right w:val="none" w:sz="0" w:space="0" w:color="auto"/>
      </w:divBdr>
      <w:divsChild>
        <w:div w:id="2018799917">
          <w:marLeft w:val="0"/>
          <w:marRight w:val="0"/>
          <w:marTop w:val="0"/>
          <w:marBottom w:val="0"/>
          <w:divBdr>
            <w:top w:val="none" w:sz="0" w:space="0" w:color="auto"/>
            <w:left w:val="none" w:sz="0" w:space="0" w:color="auto"/>
            <w:bottom w:val="none" w:sz="0" w:space="0" w:color="auto"/>
            <w:right w:val="none" w:sz="0" w:space="0" w:color="auto"/>
          </w:divBdr>
        </w:div>
      </w:divsChild>
    </w:div>
    <w:div w:id="2101438530">
      <w:bodyDiv w:val="1"/>
      <w:marLeft w:val="0"/>
      <w:marRight w:val="0"/>
      <w:marTop w:val="0"/>
      <w:marBottom w:val="0"/>
      <w:divBdr>
        <w:top w:val="none" w:sz="0" w:space="0" w:color="auto"/>
        <w:left w:val="none" w:sz="0" w:space="0" w:color="auto"/>
        <w:bottom w:val="none" w:sz="0" w:space="0" w:color="auto"/>
        <w:right w:val="none" w:sz="0" w:space="0" w:color="auto"/>
      </w:divBdr>
      <w:divsChild>
        <w:div w:id="1368794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vini</dc:creator>
  <cp:keywords/>
  <dc:description/>
  <cp:lastModifiedBy>vini</cp:lastModifiedBy>
  <cp:revision>1</cp:revision>
  <dcterms:created xsi:type="dcterms:W3CDTF">2018-10-23T04:53:00Z</dcterms:created>
  <dcterms:modified xsi:type="dcterms:W3CDTF">2018-10-23T05:06:00Z</dcterms:modified>
</cp:coreProperties>
</file>